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1E0883" w:rsidR="00EC68CC" w:rsidP="556EC5B6" w:rsidRDefault="00EC68CC" w14:paraId="35749786" w14:textId="74029486">
      <w:pPr>
        <w:rPr>
          <w:rFonts w:ascii="Garamond" w:hAnsi="Garamond" w:eastAsia="Garamond" w:cs="Garamond"/>
          <w:b w:val="1"/>
          <w:bCs w:val="1"/>
          <w:sz w:val="24"/>
          <w:szCs w:val="24"/>
        </w:rPr>
      </w:pPr>
      <w:r w:rsidRPr="556EC5B6" w:rsidR="556EC5B6">
        <w:rPr>
          <w:rFonts w:ascii="Garamond" w:hAnsi="Garamond" w:eastAsia="Garamond" w:cs="Garamond"/>
          <w:b w:val="1"/>
          <w:bCs w:val="1"/>
          <w:sz w:val="24"/>
          <w:szCs w:val="24"/>
        </w:rPr>
        <w:t>BRIEFING TO SUPERVISORS</w:t>
      </w:r>
      <w:r w:rsidRPr="556EC5B6" w:rsidR="556EC5B6">
        <w:rPr>
          <w:rFonts w:ascii="Garamond" w:hAnsi="Garamond" w:eastAsia="Garamond" w:cs="Garamond"/>
          <w:b w:val="1"/>
          <w:bCs w:val="1"/>
          <w:sz w:val="24"/>
          <w:szCs w:val="24"/>
        </w:rPr>
        <w:t xml:space="preserve"> — RECRUITMENT OF PHD EXAMINERS</w:t>
      </w:r>
    </w:p>
    <w:p w:rsidRPr="001E0883" w:rsidR="00EC68CC" w:rsidP="556EC5B6" w:rsidRDefault="00EC68CC" w14:paraId="54E5B5D0" w14:textId="77777777">
      <w:pPr>
        <w:rPr>
          <w:rFonts w:ascii="Garamond" w:hAnsi="Garamond" w:eastAsia="Garamond" w:cs="Garamond"/>
          <w:sz w:val="24"/>
          <w:szCs w:val="24"/>
        </w:rPr>
      </w:pPr>
    </w:p>
    <w:p w:rsidRPr="001E0883" w:rsidR="00EC68CC" w:rsidP="556EC5B6" w:rsidRDefault="00EC68CC" w14:paraId="0B7CC701" w14:textId="77777777">
      <w:pPr>
        <w:pStyle w:val="ListParagraph"/>
        <w:numPr>
          <w:ilvl w:val="0"/>
          <w:numId w:val="1"/>
        </w:numPr>
        <w:rPr>
          <w:rFonts w:ascii="Garamond" w:hAnsi="Garamond" w:eastAsia="Garamond" w:cs="Garamond"/>
          <w:sz w:val="24"/>
          <w:szCs w:val="24"/>
        </w:rPr>
      </w:pPr>
      <w:r w:rsidRPr="556EC5B6" w:rsidR="556EC5B6">
        <w:rPr>
          <w:rFonts w:ascii="Garamond" w:hAnsi="Garamond" w:eastAsia="Garamond" w:cs="Garamond"/>
          <w:sz w:val="24"/>
          <w:szCs w:val="24"/>
        </w:rPr>
        <w:t>One year before anticipated completion of PhD, discuss the appointment of examiners, coordinator and final seminar opponent with the candidate.</w:t>
      </w:r>
    </w:p>
    <w:p w:rsidRPr="001E0883" w:rsidR="00EC68CC" w:rsidP="556EC5B6" w:rsidRDefault="00EC68CC" w14:paraId="4CEB2E0E" w14:textId="77777777">
      <w:pPr>
        <w:pStyle w:val="ListParagraph"/>
        <w:numPr>
          <w:ilvl w:val="0"/>
          <w:numId w:val="1"/>
        </w:numPr>
        <w:rPr>
          <w:rFonts w:ascii="Garamond" w:hAnsi="Garamond" w:eastAsia="Garamond" w:cs="Garamond"/>
          <w:sz w:val="24"/>
          <w:szCs w:val="24"/>
        </w:rPr>
      </w:pPr>
      <w:r w:rsidRPr="556EC5B6" w:rsidR="556EC5B6">
        <w:rPr>
          <w:rFonts w:ascii="Garamond" w:hAnsi="Garamond" w:eastAsia="Garamond" w:cs="Garamond"/>
          <w:sz w:val="24"/>
          <w:szCs w:val="24"/>
        </w:rPr>
        <w:t xml:space="preserve"> The final seminar opponent can either be someone external or </w:t>
      </w:r>
      <w:r w:rsidRPr="556EC5B6" w:rsidR="556EC5B6">
        <w:rPr>
          <w:rFonts w:ascii="Garamond" w:hAnsi="Garamond" w:eastAsia="Garamond" w:cs="Garamond"/>
          <w:sz w:val="24"/>
          <w:szCs w:val="24"/>
        </w:rPr>
        <w:t>internal, and</w:t>
      </w:r>
      <w:r w:rsidRPr="556EC5B6" w:rsidR="556EC5B6">
        <w:rPr>
          <w:rFonts w:ascii="Garamond" w:hAnsi="Garamond" w:eastAsia="Garamond" w:cs="Garamond"/>
          <w:sz w:val="24"/>
          <w:szCs w:val="24"/>
        </w:rPr>
        <w:t xml:space="preserve"> can be a rated near colleague familiar with the work of the candidate or someone new to the work. This depends on the objectives defined for the final seminar. </w:t>
      </w:r>
    </w:p>
    <w:p w:rsidRPr="001E0883" w:rsidR="00EC68CC" w:rsidP="556EC5B6" w:rsidRDefault="00EC68CC" w14:paraId="7552ADDE" w14:textId="77777777">
      <w:pPr>
        <w:pStyle w:val="ListParagraph"/>
        <w:numPr>
          <w:ilvl w:val="0"/>
          <w:numId w:val="1"/>
        </w:numPr>
        <w:rPr>
          <w:rFonts w:ascii="Garamond" w:hAnsi="Garamond" w:eastAsia="Garamond" w:cs="Garamond"/>
          <w:sz w:val="24"/>
          <w:szCs w:val="24"/>
        </w:rPr>
      </w:pPr>
      <w:r w:rsidRPr="556EC5B6" w:rsidR="556EC5B6">
        <w:rPr>
          <w:rFonts w:ascii="Garamond" w:hAnsi="Garamond" w:eastAsia="Garamond" w:cs="Garamond"/>
          <w:sz w:val="24"/>
          <w:szCs w:val="24"/>
        </w:rPr>
        <w:t xml:space="preserve">The external committee members need to be chosen with care. Be aware of, and research, their background in PhD examinations, their expectation of PhD scope (examiners from Sweden are used to 4-year PhDs, which can be larger in scope than those at AHO; examiners from the UK are used to a different final process in which examiners can ask for additions to be made after the viva, and can therefore be reluctant to sign off PhD proposals for defense without requiring revision). If your candidate has made a study which requires experts from different fields to examine the thesis, </w:t>
      </w:r>
      <w:r w:rsidRPr="556EC5B6" w:rsidR="556EC5B6">
        <w:rPr>
          <w:rFonts w:ascii="Garamond" w:hAnsi="Garamond" w:eastAsia="Garamond" w:cs="Garamond"/>
          <w:sz w:val="24"/>
          <w:szCs w:val="24"/>
        </w:rPr>
        <w:t>ie</w:t>
      </w:r>
      <w:r w:rsidRPr="556EC5B6" w:rsidR="556EC5B6">
        <w:rPr>
          <w:rFonts w:ascii="Garamond" w:hAnsi="Garamond" w:eastAsia="Garamond" w:cs="Garamond"/>
          <w:sz w:val="24"/>
          <w:szCs w:val="24"/>
        </w:rPr>
        <w:t xml:space="preserve"> the thesis is to an extent interdisciplinary, ensure that the proposed examiners have some experience of PhD theses that build knowledge in an interdisciplinary way. </w:t>
      </w:r>
    </w:p>
    <w:p w:rsidRPr="001E0883" w:rsidR="00EC68CC" w:rsidP="556EC5B6" w:rsidRDefault="00EC68CC" w14:paraId="7FE5153B" w14:textId="77777777">
      <w:pPr>
        <w:pStyle w:val="ListParagraph"/>
        <w:numPr>
          <w:ilvl w:val="0"/>
          <w:numId w:val="1"/>
        </w:numPr>
        <w:rPr>
          <w:rFonts w:ascii="Garamond" w:hAnsi="Garamond" w:eastAsia="Garamond" w:cs="Garamond"/>
          <w:sz w:val="24"/>
          <w:szCs w:val="24"/>
        </w:rPr>
      </w:pPr>
      <w:r w:rsidRPr="556EC5B6" w:rsidR="556EC5B6">
        <w:rPr>
          <w:rFonts w:ascii="Garamond" w:hAnsi="Garamond" w:eastAsia="Garamond" w:cs="Garamond"/>
          <w:sz w:val="24"/>
          <w:szCs w:val="24"/>
        </w:rPr>
        <w:t>When considering examiners, check the submission guidelines with the candidate and consider if there are issues likely to arise in examining the thesis, in terms of its current form.</w:t>
      </w:r>
    </w:p>
    <w:p w:rsidRPr="001E0883" w:rsidR="00EC68CC" w:rsidP="556EC5B6" w:rsidRDefault="00EC68CC" w14:paraId="126C74BE" w14:textId="77777777">
      <w:pPr>
        <w:pStyle w:val="ListParagraph"/>
        <w:numPr>
          <w:ilvl w:val="0"/>
          <w:numId w:val="1"/>
        </w:numPr>
        <w:rPr>
          <w:rFonts w:ascii="Garamond" w:hAnsi="Garamond" w:eastAsia="Garamond" w:cs="Garamond"/>
          <w:sz w:val="24"/>
          <w:szCs w:val="24"/>
        </w:rPr>
      </w:pPr>
      <w:r w:rsidRPr="556EC5B6" w:rsidR="556EC5B6">
        <w:rPr>
          <w:rFonts w:ascii="Garamond" w:hAnsi="Garamond" w:eastAsia="Garamond" w:cs="Garamond"/>
          <w:sz w:val="24"/>
          <w:szCs w:val="24"/>
        </w:rPr>
        <w:t>Coordinating committee members should not, generally, come from the same research group as the candidate and should not be near colleagues. It is acceptable to approach people from your own institute as coordinators.</w:t>
      </w:r>
    </w:p>
    <w:p w:rsidRPr="001E0883" w:rsidR="00EC68CC" w:rsidP="556EC5B6" w:rsidRDefault="00EC68CC" w14:paraId="65C75DAF" w14:textId="77777777">
      <w:pPr>
        <w:pStyle w:val="ListParagraph"/>
        <w:numPr>
          <w:ilvl w:val="0"/>
          <w:numId w:val="1"/>
        </w:numPr>
        <w:rPr>
          <w:rFonts w:ascii="Garamond" w:hAnsi="Garamond" w:eastAsia="Garamond" w:cs="Garamond"/>
          <w:sz w:val="24"/>
          <w:szCs w:val="24"/>
        </w:rPr>
      </w:pPr>
      <w:r w:rsidRPr="556EC5B6" w:rsidR="556EC5B6">
        <w:rPr>
          <w:rFonts w:ascii="Garamond" w:hAnsi="Garamond" w:eastAsia="Garamond" w:cs="Garamond"/>
          <w:sz w:val="24"/>
          <w:szCs w:val="24"/>
        </w:rPr>
        <w:t xml:space="preserve">The coordinating committee member does not need to be engaged in research in the same area as the PhD candidate, but they do need to be aware </w:t>
      </w:r>
      <w:r w:rsidRPr="556EC5B6" w:rsidR="556EC5B6">
        <w:rPr>
          <w:rFonts w:ascii="Garamond" w:hAnsi="Garamond" w:eastAsia="Garamond" w:cs="Garamond"/>
          <w:sz w:val="24"/>
          <w:szCs w:val="24"/>
        </w:rPr>
        <w:t>both of the issues</w:t>
      </w:r>
      <w:r w:rsidRPr="556EC5B6" w:rsidR="556EC5B6">
        <w:rPr>
          <w:rFonts w:ascii="Garamond" w:hAnsi="Garamond" w:eastAsia="Garamond" w:cs="Garamond"/>
          <w:sz w:val="24"/>
          <w:szCs w:val="24"/>
        </w:rPr>
        <w:t xml:space="preserve"> that will arise in examining the candidate and they need to be able to explain to the external examiners the context and expectations for an AHO PhD. It is a good idea to discuss this with the potential coordinating examiner.</w:t>
      </w:r>
    </w:p>
    <w:p w:rsidRPr="001E0883" w:rsidR="00EC68CC" w:rsidP="556EC5B6" w:rsidRDefault="00EC68CC" w14:paraId="2C61F969" w14:textId="253751FE">
      <w:pPr>
        <w:pStyle w:val="ListParagraph"/>
        <w:numPr>
          <w:ilvl w:val="0"/>
          <w:numId w:val="1"/>
        </w:numPr>
        <w:rPr>
          <w:rFonts w:ascii="Garamond" w:hAnsi="Garamond" w:eastAsia="Garamond" w:cs="Garamond"/>
          <w:sz w:val="24"/>
          <w:szCs w:val="24"/>
        </w:rPr>
      </w:pPr>
      <w:r w:rsidRPr="556EC5B6" w:rsidR="556EC5B6">
        <w:rPr>
          <w:rFonts w:ascii="Garamond" w:hAnsi="Garamond" w:eastAsia="Garamond" w:cs="Garamond"/>
          <w:noProof w:val="0"/>
          <w:sz w:val="24"/>
          <w:szCs w:val="24"/>
          <w:lang w:val="en-US"/>
        </w:rPr>
        <w:t>Normally the main supervisor should approach potential opponents 4–6 months before the anticipated submission date. Applications to appoint committee members should come from the main supervisor to the PhD Programme Board minimum 4 months before the submission date</w:t>
      </w:r>
      <w:r w:rsidRPr="556EC5B6" w:rsidR="556EC5B6">
        <w:rPr>
          <w:rFonts w:ascii="Garamond" w:hAnsi="Garamond" w:eastAsia="Garamond" w:cs="Garamond"/>
          <w:sz w:val="24"/>
          <w:szCs w:val="24"/>
        </w:rPr>
        <w:t xml:space="preserve">. </w:t>
      </w:r>
      <w:r w:rsidRPr="556EC5B6" w:rsidR="556EC5B6">
        <w:rPr>
          <w:rFonts w:ascii="Garamond" w:hAnsi="Garamond" w:eastAsia="Garamond" w:cs="Garamond"/>
          <w:sz w:val="24"/>
          <w:szCs w:val="24"/>
        </w:rPr>
        <w:t xml:space="preserve">Supervisors are referred to the notes for potential examiners at the end of this document which will help field the FAQs that arise on approach. (See below). </w:t>
      </w:r>
    </w:p>
    <w:p w:rsidRPr="001E0883" w:rsidR="00EC68CC" w:rsidP="556EC5B6" w:rsidRDefault="00EC68CC" w14:paraId="45AA0E21" w14:textId="77777777">
      <w:pPr>
        <w:rPr>
          <w:rFonts w:ascii="Garamond" w:hAnsi="Garamond" w:eastAsia="Garamond" w:cs="Garamond"/>
          <w:sz w:val="24"/>
          <w:szCs w:val="24"/>
        </w:rPr>
      </w:pPr>
    </w:p>
    <w:p w:rsidR="00D26B3C" w:rsidP="556EC5B6" w:rsidRDefault="00D26B3C" w14:paraId="4907C12D" w14:textId="77777777">
      <w:pPr>
        <w:rPr>
          <w:rFonts w:ascii="Garamond" w:hAnsi="Garamond" w:eastAsia="Garamond" w:cs="Garamond"/>
          <w:b w:val="1"/>
          <w:bCs w:val="1"/>
          <w:sz w:val="24"/>
          <w:szCs w:val="24"/>
        </w:rPr>
      </w:pPr>
    </w:p>
    <w:p w:rsidR="00D26B3C" w:rsidP="556EC5B6" w:rsidRDefault="00D26B3C" w14:paraId="6C44025A" w14:textId="77777777">
      <w:pPr>
        <w:rPr>
          <w:rFonts w:ascii="Garamond" w:hAnsi="Garamond" w:eastAsia="Garamond" w:cs="Garamond"/>
          <w:b w:val="1"/>
          <w:bCs w:val="1"/>
          <w:sz w:val="24"/>
          <w:szCs w:val="24"/>
        </w:rPr>
      </w:pPr>
    </w:p>
    <w:p w:rsidR="00D26B3C" w:rsidP="556EC5B6" w:rsidRDefault="00D26B3C" w14:paraId="16CE0A76" w14:textId="77777777">
      <w:pPr>
        <w:rPr>
          <w:rFonts w:ascii="Garamond" w:hAnsi="Garamond" w:eastAsia="Garamond" w:cs="Garamond"/>
          <w:b w:val="1"/>
          <w:bCs w:val="1"/>
          <w:sz w:val="24"/>
          <w:szCs w:val="24"/>
        </w:rPr>
      </w:pPr>
    </w:p>
    <w:p w:rsidR="00D26B3C" w:rsidP="556EC5B6" w:rsidRDefault="00D26B3C" w14:paraId="76B72905" w14:textId="77777777">
      <w:pPr>
        <w:rPr>
          <w:rFonts w:ascii="Garamond" w:hAnsi="Garamond" w:eastAsia="Garamond" w:cs="Garamond"/>
          <w:b w:val="1"/>
          <w:bCs w:val="1"/>
          <w:sz w:val="24"/>
          <w:szCs w:val="24"/>
        </w:rPr>
      </w:pPr>
    </w:p>
    <w:p w:rsidR="00D26B3C" w:rsidP="556EC5B6" w:rsidRDefault="00D26B3C" w14:paraId="7F390737" w14:textId="77777777">
      <w:pPr>
        <w:rPr>
          <w:rFonts w:ascii="Garamond" w:hAnsi="Garamond" w:eastAsia="Garamond" w:cs="Garamond"/>
          <w:b w:val="1"/>
          <w:bCs w:val="1"/>
          <w:sz w:val="24"/>
          <w:szCs w:val="24"/>
        </w:rPr>
      </w:pPr>
    </w:p>
    <w:p w:rsidR="00D26B3C" w:rsidP="556EC5B6" w:rsidRDefault="00D26B3C" w14:paraId="502A5F3C" w14:textId="77777777">
      <w:pPr>
        <w:rPr>
          <w:rFonts w:ascii="Garamond" w:hAnsi="Garamond" w:eastAsia="Garamond" w:cs="Garamond"/>
          <w:b w:val="1"/>
          <w:bCs w:val="1"/>
          <w:sz w:val="24"/>
          <w:szCs w:val="24"/>
        </w:rPr>
      </w:pPr>
    </w:p>
    <w:p w:rsidR="00D26B3C" w:rsidP="556EC5B6" w:rsidRDefault="00D26B3C" w14:paraId="4A858F77" w14:textId="77777777">
      <w:pPr>
        <w:rPr>
          <w:rFonts w:ascii="Garamond" w:hAnsi="Garamond" w:eastAsia="Garamond" w:cs="Garamond"/>
          <w:b w:val="1"/>
          <w:bCs w:val="1"/>
          <w:sz w:val="24"/>
          <w:szCs w:val="24"/>
        </w:rPr>
      </w:pPr>
    </w:p>
    <w:p w:rsidR="00D26B3C" w:rsidP="556EC5B6" w:rsidRDefault="00D26B3C" w14:paraId="5082CB03" w14:textId="77777777">
      <w:pPr>
        <w:rPr>
          <w:rFonts w:ascii="Garamond" w:hAnsi="Garamond" w:eastAsia="Garamond" w:cs="Garamond"/>
          <w:b w:val="1"/>
          <w:bCs w:val="1"/>
          <w:sz w:val="24"/>
          <w:szCs w:val="24"/>
        </w:rPr>
      </w:pPr>
    </w:p>
    <w:p w:rsidR="00D26B3C" w:rsidP="556EC5B6" w:rsidRDefault="00D26B3C" w14:paraId="27727D58" w14:textId="77777777">
      <w:pPr>
        <w:rPr>
          <w:rFonts w:ascii="Garamond" w:hAnsi="Garamond" w:eastAsia="Garamond" w:cs="Garamond"/>
          <w:b w:val="1"/>
          <w:bCs w:val="1"/>
          <w:sz w:val="24"/>
          <w:szCs w:val="24"/>
        </w:rPr>
      </w:pPr>
    </w:p>
    <w:p w:rsidR="00D26B3C" w:rsidP="556EC5B6" w:rsidRDefault="00D26B3C" w14:paraId="1055A135" w14:textId="77777777">
      <w:pPr>
        <w:rPr>
          <w:rFonts w:ascii="Garamond" w:hAnsi="Garamond" w:eastAsia="Garamond" w:cs="Garamond"/>
          <w:b w:val="1"/>
          <w:bCs w:val="1"/>
          <w:sz w:val="24"/>
          <w:szCs w:val="24"/>
        </w:rPr>
      </w:pPr>
    </w:p>
    <w:p w:rsidR="00D26B3C" w:rsidP="556EC5B6" w:rsidRDefault="00D26B3C" w14:paraId="2B32DEF4" w14:textId="77777777">
      <w:pPr>
        <w:rPr>
          <w:rFonts w:ascii="Garamond" w:hAnsi="Garamond" w:eastAsia="Garamond" w:cs="Garamond"/>
          <w:b w:val="1"/>
          <w:bCs w:val="1"/>
          <w:sz w:val="24"/>
          <w:szCs w:val="24"/>
        </w:rPr>
      </w:pPr>
    </w:p>
    <w:p w:rsidR="00D26B3C" w:rsidP="556EC5B6" w:rsidRDefault="00D26B3C" w14:paraId="6A3DEC07" w14:textId="77777777">
      <w:pPr>
        <w:rPr>
          <w:rFonts w:ascii="Garamond" w:hAnsi="Garamond" w:eastAsia="Garamond" w:cs="Garamond"/>
          <w:b w:val="1"/>
          <w:bCs w:val="1"/>
          <w:sz w:val="24"/>
          <w:szCs w:val="24"/>
        </w:rPr>
      </w:pPr>
    </w:p>
    <w:p w:rsidR="00D26B3C" w:rsidP="556EC5B6" w:rsidRDefault="00D26B3C" w14:paraId="3AC39A9C" w14:textId="77777777">
      <w:pPr>
        <w:rPr>
          <w:rFonts w:ascii="Garamond" w:hAnsi="Garamond" w:eastAsia="Garamond" w:cs="Garamond"/>
          <w:b w:val="1"/>
          <w:bCs w:val="1"/>
          <w:sz w:val="24"/>
          <w:szCs w:val="24"/>
        </w:rPr>
      </w:pPr>
    </w:p>
    <w:p w:rsidR="00D26B3C" w:rsidP="556EC5B6" w:rsidRDefault="00D26B3C" w14:paraId="4BC39CE6" w14:textId="77777777">
      <w:pPr>
        <w:rPr>
          <w:rFonts w:ascii="Garamond" w:hAnsi="Garamond" w:eastAsia="Garamond" w:cs="Garamond"/>
          <w:b w:val="1"/>
          <w:bCs w:val="1"/>
          <w:sz w:val="24"/>
          <w:szCs w:val="24"/>
        </w:rPr>
      </w:pPr>
    </w:p>
    <w:p w:rsidR="00D26B3C" w:rsidP="556EC5B6" w:rsidRDefault="00D26B3C" w14:paraId="4A8CEEF4" w14:textId="77777777">
      <w:pPr>
        <w:rPr>
          <w:rFonts w:ascii="Garamond" w:hAnsi="Garamond" w:eastAsia="Garamond" w:cs="Garamond"/>
          <w:b w:val="1"/>
          <w:bCs w:val="1"/>
          <w:sz w:val="24"/>
          <w:szCs w:val="24"/>
        </w:rPr>
      </w:pPr>
    </w:p>
    <w:p w:rsidR="00D26B3C" w:rsidP="556EC5B6" w:rsidRDefault="00D26B3C" w14:paraId="75DB7AFE" w14:textId="77777777">
      <w:pPr>
        <w:rPr>
          <w:rFonts w:ascii="Garamond" w:hAnsi="Garamond" w:eastAsia="Garamond" w:cs="Garamond"/>
          <w:b w:val="1"/>
          <w:bCs w:val="1"/>
          <w:sz w:val="24"/>
          <w:szCs w:val="24"/>
        </w:rPr>
      </w:pPr>
    </w:p>
    <w:p w:rsidR="00D26B3C" w:rsidP="556EC5B6" w:rsidRDefault="00D26B3C" w14:paraId="2A1D2C4F" w14:textId="77777777">
      <w:pPr>
        <w:rPr>
          <w:rFonts w:ascii="Garamond" w:hAnsi="Garamond" w:eastAsia="Garamond" w:cs="Garamond"/>
          <w:b w:val="1"/>
          <w:bCs w:val="1"/>
          <w:sz w:val="24"/>
          <w:szCs w:val="24"/>
        </w:rPr>
      </w:pPr>
    </w:p>
    <w:p w:rsidR="00D26B3C" w:rsidP="556EC5B6" w:rsidRDefault="00D26B3C" w14:paraId="0A07BBAE" w14:textId="77777777">
      <w:pPr>
        <w:rPr>
          <w:rFonts w:ascii="Garamond" w:hAnsi="Garamond" w:eastAsia="Garamond" w:cs="Garamond"/>
          <w:b w:val="1"/>
          <w:bCs w:val="1"/>
          <w:sz w:val="24"/>
          <w:szCs w:val="24"/>
        </w:rPr>
      </w:pPr>
    </w:p>
    <w:p w:rsidR="00D26B3C" w:rsidP="556EC5B6" w:rsidRDefault="00D26B3C" w14:paraId="54DE85CE" w14:textId="77777777">
      <w:pPr>
        <w:rPr>
          <w:rFonts w:ascii="Garamond" w:hAnsi="Garamond" w:eastAsia="Garamond" w:cs="Garamond"/>
          <w:b w:val="1"/>
          <w:bCs w:val="1"/>
          <w:sz w:val="24"/>
          <w:szCs w:val="24"/>
        </w:rPr>
      </w:pPr>
    </w:p>
    <w:p w:rsidR="00D26B3C" w:rsidP="556EC5B6" w:rsidRDefault="00D26B3C" w14:paraId="1F484C1D" w14:textId="77777777">
      <w:pPr>
        <w:rPr>
          <w:rFonts w:ascii="Garamond" w:hAnsi="Garamond" w:eastAsia="Garamond" w:cs="Garamond"/>
          <w:b w:val="1"/>
          <w:bCs w:val="1"/>
          <w:sz w:val="24"/>
          <w:szCs w:val="24"/>
        </w:rPr>
      </w:pPr>
    </w:p>
    <w:p w:rsidR="00D26B3C" w:rsidP="556EC5B6" w:rsidRDefault="00D26B3C" w14:paraId="1F0B288E" w14:textId="77777777">
      <w:pPr>
        <w:rPr>
          <w:rFonts w:ascii="Garamond" w:hAnsi="Garamond" w:eastAsia="Garamond" w:cs="Garamond"/>
          <w:b w:val="1"/>
          <w:bCs w:val="1"/>
          <w:sz w:val="24"/>
          <w:szCs w:val="24"/>
        </w:rPr>
      </w:pPr>
    </w:p>
    <w:p w:rsidRPr="001E0883" w:rsidR="00EC68CC" w:rsidP="556EC5B6" w:rsidRDefault="00EC68CC" w14:paraId="27ECF1CA" w14:textId="339CBCFE">
      <w:pPr>
        <w:rPr>
          <w:rFonts w:ascii="Garamond" w:hAnsi="Garamond" w:eastAsia="Garamond" w:cs="Garamond"/>
          <w:b w:val="1"/>
          <w:bCs w:val="1"/>
          <w:sz w:val="24"/>
          <w:szCs w:val="24"/>
        </w:rPr>
      </w:pPr>
      <w:r w:rsidRPr="556EC5B6" w:rsidR="556EC5B6">
        <w:rPr>
          <w:rFonts w:ascii="Garamond" w:hAnsi="Garamond" w:eastAsia="Garamond" w:cs="Garamond"/>
          <w:b w:val="1"/>
          <w:bCs w:val="1"/>
          <w:sz w:val="24"/>
          <w:szCs w:val="24"/>
        </w:rPr>
        <w:t>BRIEFING NOTES FOR EXAMINERS TO BE USED BY SUPERVISORS ON FIRST APPROACH</w:t>
      </w:r>
    </w:p>
    <w:p w:rsidRPr="001E0883" w:rsidR="00EC68CC" w:rsidP="556EC5B6" w:rsidRDefault="00EC68CC" w14:paraId="48049824" w14:textId="77777777">
      <w:pPr>
        <w:rPr>
          <w:rFonts w:ascii="Garamond" w:hAnsi="Garamond" w:eastAsia="Garamond" w:cs="Garamond"/>
          <w:b w:val="1"/>
          <w:bCs w:val="1"/>
          <w:sz w:val="24"/>
          <w:szCs w:val="24"/>
        </w:rPr>
      </w:pPr>
    </w:p>
    <w:p w:rsidRPr="001E0883" w:rsidR="00EC68CC" w:rsidP="556EC5B6" w:rsidRDefault="00EC68CC" w14:paraId="734D7B09" w14:textId="28D055C7">
      <w:pPr>
        <w:rPr>
          <w:rFonts w:ascii="Garamond" w:hAnsi="Garamond" w:eastAsia="Garamond" w:cs="Garamond"/>
          <w:sz w:val="24"/>
          <w:szCs w:val="24"/>
        </w:rPr>
      </w:pPr>
      <w:r w:rsidRPr="556EC5B6" w:rsidR="556EC5B6">
        <w:rPr>
          <w:rFonts w:ascii="Garamond" w:hAnsi="Garamond" w:eastAsia="Garamond" w:cs="Garamond"/>
          <w:sz w:val="24"/>
          <w:szCs w:val="24"/>
        </w:rPr>
        <w:t>SCOPE: External examiner and interlocutor (“opponent”) for the oral examination of the thesis.</w:t>
      </w:r>
    </w:p>
    <w:p w:rsidR="00D26B3C" w:rsidP="556EC5B6" w:rsidRDefault="00EC68CC" w14:paraId="756F946E" w14:textId="55A8E1A9">
      <w:pPr>
        <w:rPr>
          <w:rFonts w:ascii="Garamond" w:hAnsi="Garamond" w:eastAsia="Garamond" w:cs="Garamond"/>
          <w:sz w:val="24"/>
          <w:szCs w:val="24"/>
        </w:rPr>
      </w:pPr>
      <w:r w:rsidRPr="556EC5B6" w:rsidR="556EC5B6">
        <w:rPr>
          <w:rFonts w:ascii="Garamond" w:hAnsi="Garamond" w:eastAsia="Garamond" w:cs="Garamond"/>
          <w:sz w:val="24"/>
          <w:szCs w:val="24"/>
        </w:rPr>
        <w:t xml:space="preserve">PROCESS: The adjudication committee consists of two external expert examiners who act as interlocutors in the oral thesis defense. The committee are sent a pdf file of the completed thesis document (this document sets out and presents any other ancillary elements in the PhD project that must be assessed as part of the examination and makes clear how this assessment can happen. The committee produce a co-written assessment report (approx. 8-10 pages) within 3 months of receiving the work, typically having had two committee meetings arranged by the coordinator. The committee are appointed in the first instance to decide whether the PhD thesis deserves to be accepted for formal, oral defense. Based on the committee’s evaluation, a date is set for an oral </w:t>
      </w:r>
      <w:r w:rsidRPr="556EC5B6" w:rsidR="556EC5B6">
        <w:rPr>
          <w:rFonts w:ascii="Garamond" w:hAnsi="Garamond" w:eastAsia="Garamond" w:cs="Garamond"/>
          <w:sz w:val="24"/>
          <w:szCs w:val="24"/>
        </w:rPr>
        <w:t>defence</w:t>
      </w:r>
      <w:r w:rsidRPr="556EC5B6" w:rsidR="556EC5B6">
        <w:rPr>
          <w:rFonts w:ascii="Garamond" w:hAnsi="Garamond" w:eastAsia="Garamond" w:cs="Garamond"/>
          <w:sz w:val="24"/>
          <w:szCs w:val="24"/>
        </w:rPr>
        <w:t xml:space="preserve"> and a trial lecture (single day event; takes place at AHO). In this examination the external members of the committee act as interlocutors, preparing a set of questions and discussion points for a 45</w:t>
      </w:r>
      <w:r w:rsidRPr="556EC5B6" w:rsidR="556EC5B6">
        <w:rPr>
          <w:rFonts w:ascii="Garamond" w:hAnsi="Garamond" w:eastAsia="Garamond" w:cs="Garamond"/>
          <w:sz w:val="24"/>
          <w:szCs w:val="24"/>
        </w:rPr>
        <w:t>-</w:t>
      </w:r>
      <w:r w:rsidRPr="556EC5B6" w:rsidR="556EC5B6">
        <w:rPr>
          <w:rFonts w:ascii="Garamond" w:hAnsi="Garamond" w:eastAsia="Garamond" w:cs="Garamond"/>
          <w:sz w:val="24"/>
          <w:szCs w:val="24"/>
        </w:rPr>
        <w:t>minute seminar with the candidate from each of the two external examiners. The committee hear and assess a trial lecture provided by the candidate during this day. The decision is as to whether to award the thesis is made immediately the oral defense is concluded. No final report is required.</w:t>
      </w:r>
      <w:r w:rsidRPr="556EC5B6" w:rsidR="556EC5B6">
        <w:rPr>
          <w:rFonts w:ascii="Garamond" w:hAnsi="Garamond" w:eastAsia="Garamond" w:cs="Garamond"/>
          <w:sz w:val="24"/>
          <w:szCs w:val="24"/>
        </w:rPr>
        <w:t xml:space="preserve"> </w:t>
      </w:r>
    </w:p>
    <w:p w:rsidRPr="00EC68CC" w:rsidR="00DE6C48" w:rsidP="556EC5B6" w:rsidRDefault="00DE6C48" w14:paraId="010C8D12" w14:textId="61D9C5FD">
      <w:pPr>
        <w:spacing w:before="210" w:beforeAutospacing="off" w:after="210" w:afterAutospacing="off" w:line="300" w:lineRule="auto"/>
        <w:rPr>
          <w:rFonts w:ascii="Garamond" w:hAnsi="Garamond" w:eastAsia="Garamond" w:cs="Garamond"/>
          <w:b w:val="0"/>
          <w:bCs w:val="0"/>
          <w:i w:val="0"/>
          <w:iCs w:val="0"/>
          <w:noProof w:val="0"/>
          <w:sz w:val="24"/>
          <w:szCs w:val="24"/>
          <w:lang w:val="en-US"/>
        </w:rPr>
      </w:pPr>
      <w:r w:rsidRPr="556EC5B6" w:rsidR="556EC5B6">
        <w:rPr>
          <w:rFonts w:ascii="Garamond" w:hAnsi="Garamond" w:eastAsia="Garamond" w:cs="Garamond"/>
          <w:sz w:val="24"/>
          <w:szCs w:val="24"/>
        </w:rPr>
        <w:t xml:space="preserve">HONORARIUM: </w:t>
      </w:r>
      <w:r>
        <w:br/>
      </w:r>
      <w:r w:rsidRPr="556EC5B6" w:rsidR="556EC5B6">
        <w:rPr>
          <w:rFonts w:ascii="Garamond" w:hAnsi="Garamond" w:eastAsia="Garamond" w:cs="Garamond"/>
          <w:b w:val="0"/>
          <w:bCs w:val="0"/>
          <w:i w:val="0"/>
          <w:iCs w:val="0"/>
          <w:noProof w:val="0"/>
          <w:sz w:val="24"/>
          <w:szCs w:val="24"/>
          <w:lang w:val="en-US"/>
        </w:rPr>
        <w:t>Compensation is provided to external committee members only.</w:t>
      </w:r>
      <w:r>
        <w:br/>
      </w:r>
      <w:r w:rsidRPr="556EC5B6" w:rsidR="556EC5B6">
        <w:rPr>
          <w:rFonts w:ascii="Garamond" w:hAnsi="Garamond" w:eastAsia="Garamond" w:cs="Garamond"/>
          <w:b w:val="0"/>
          <w:bCs w:val="0"/>
          <w:i w:val="0"/>
          <w:iCs w:val="0"/>
          <w:noProof w:val="0"/>
          <w:sz w:val="24"/>
          <w:szCs w:val="24"/>
          <w:lang w:val="en-US"/>
        </w:rPr>
        <w:t>- 25 hours for thesis evaluation, including the committee report</w:t>
      </w:r>
      <w:r>
        <w:br/>
      </w:r>
      <w:r w:rsidRPr="556EC5B6" w:rsidR="556EC5B6">
        <w:rPr>
          <w:rFonts w:ascii="Garamond" w:hAnsi="Garamond" w:eastAsia="Garamond" w:cs="Garamond"/>
          <w:b w:val="0"/>
          <w:bCs w:val="0"/>
          <w:i w:val="0"/>
          <w:iCs w:val="0"/>
          <w:noProof w:val="0"/>
          <w:sz w:val="24"/>
          <w:szCs w:val="24"/>
          <w:lang w:val="en-US"/>
        </w:rPr>
        <w:t>- Hourly rates (2026): NOK 404 (Professor), NOK 369 (PhD/Associate Professor)</w:t>
      </w:r>
      <w:r>
        <w:br/>
      </w:r>
      <w:r w:rsidRPr="556EC5B6" w:rsidR="556EC5B6">
        <w:rPr>
          <w:rFonts w:ascii="Garamond" w:hAnsi="Garamond" w:eastAsia="Garamond" w:cs="Garamond"/>
          <w:b w:val="0"/>
          <w:bCs w:val="0"/>
          <w:i w:val="0"/>
          <w:iCs w:val="0"/>
          <w:noProof w:val="0"/>
          <w:sz w:val="24"/>
          <w:szCs w:val="24"/>
          <w:lang w:val="en-US"/>
        </w:rPr>
        <w:t xml:space="preserve">- Additional hours for the </w:t>
      </w:r>
      <w:r w:rsidRPr="556EC5B6" w:rsidR="556EC5B6">
        <w:rPr>
          <w:rFonts w:ascii="Garamond" w:hAnsi="Garamond" w:eastAsia="Garamond" w:cs="Garamond"/>
          <w:b w:val="0"/>
          <w:bCs w:val="0"/>
          <w:i w:val="0"/>
          <w:iCs w:val="0"/>
          <w:noProof w:val="0"/>
          <w:sz w:val="24"/>
          <w:szCs w:val="24"/>
          <w:lang w:val="en-US"/>
        </w:rPr>
        <w:t>defense</w:t>
      </w:r>
      <w:r w:rsidRPr="556EC5B6" w:rsidR="556EC5B6">
        <w:rPr>
          <w:rFonts w:ascii="Garamond" w:hAnsi="Garamond" w:eastAsia="Garamond" w:cs="Garamond"/>
          <w:b w:val="0"/>
          <w:bCs w:val="0"/>
          <w:i w:val="0"/>
          <w:iCs w:val="0"/>
          <w:noProof w:val="0"/>
          <w:sz w:val="24"/>
          <w:szCs w:val="24"/>
          <w:lang w:val="en-US"/>
        </w:rPr>
        <w:t xml:space="preserve"> (if held): </w:t>
      </w:r>
    </w:p>
    <w:p w:rsidRPr="00EC68CC" w:rsidR="00DE6C48" w:rsidP="556EC5B6" w:rsidRDefault="00DE6C48" w14:paraId="18AF4448" w14:textId="307EEA33">
      <w:pPr>
        <w:pStyle w:val="ListParagraph"/>
        <w:numPr>
          <w:ilvl w:val="1"/>
          <w:numId w:val="2"/>
        </w:numPr>
        <w:spacing w:before="0" w:beforeAutospacing="off" w:after="0" w:afterAutospacing="off" w:line="300" w:lineRule="auto"/>
        <w:rPr>
          <w:rFonts w:ascii="Garamond" w:hAnsi="Garamond" w:eastAsia="Garamond" w:cs="Garamond"/>
          <w:b w:val="0"/>
          <w:bCs w:val="0"/>
          <w:i w:val="0"/>
          <w:iCs w:val="0"/>
          <w:noProof w:val="0"/>
          <w:sz w:val="24"/>
          <w:szCs w:val="24"/>
          <w:lang w:val="en-US"/>
        </w:rPr>
      </w:pPr>
      <w:r w:rsidRPr="556EC5B6" w:rsidR="556EC5B6">
        <w:rPr>
          <w:rFonts w:ascii="Garamond" w:hAnsi="Garamond" w:eastAsia="Garamond" w:cs="Garamond"/>
          <w:b w:val="0"/>
          <w:bCs w:val="0"/>
          <w:i w:val="0"/>
          <w:iCs w:val="0"/>
          <w:noProof w:val="0"/>
          <w:sz w:val="24"/>
          <w:szCs w:val="24"/>
          <w:lang w:val="en-US"/>
        </w:rPr>
        <w:t>15 hours</w:t>
      </w:r>
      <w:r w:rsidRPr="556EC5B6" w:rsidR="556EC5B6">
        <w:rPr>
          <w:rFonts w:ascii="Garamond" w:hAnsi="Garamond" w:eastAsia="Garamond" w:cs="Garamond"/>
          <w:b w:val="0"/>
          <w:bCs w:val="0"/>
          <w:i w:val="0"/>
          <w:iCs w:val="0"/>
          <w:noProof w:val="0"/>
          <w:sz w:val="24"/>
          <w:szCs w:val="24"/>
          <w:lang w:val="en-US"/>
        </w:rPr>
        <w:t xml:space="preserve"> (first opponent)</w:t>
      </w:r>
    </w:p>
    <w:p w:rsidRPr="00EC68CC" w:rsidR="00DE6C48" w:rsidP="556EC5B6" w:rsidRDefault="00DE6C48" w14:paraId="027BFD38" w14:textId="22D59812">
      <w:pPr>
        <w:pStyle w:val="ListParagraph"/>
        <w:numPr>
          <w:ilvl w:val="1"/>
          <w:numId w:val="2"/>
        </w:numPr>
        <w:spacing w:before="0" w:beforeAutospacing="off" w:after="0" w:afterAutospacing="off" w:line="300" w:lineRule="auto"/>
        <w:rPr>
          <w:rFonts w:ascii="Garamond" w:hAnsi="Garamond" w:eastAsia="Garamond" w:cs="Garamond"/>
          <w:b w:val="0"/>
          <w:bCs w:val="0"/>
          <w:i w:val="0"/>
          <w:iCs w:val="0"/>
          <w:noProof w:val="0"/>
          <w:sz w:val="24"/>
          <w:szCs w:val="24"/>
          <w:lang w:val="en-US"/>
        </w:rPr>
      </w:pPr>
      <w:r w:rsidRPr="556EC5B6" w:rsidR="556EC5B6">
        <w:rPr>
          <w:rFonts w:ascii="Garamond" w:hAnsi="Garamond" w:eastAsia="Garamond" w:cs="Garamond"/>
          <w:b w:val="0"/>
          <w:bCs w:val="0"/>
          <w:i w:val="0"/>
          <w:iCs w:val="0"/>
          <w:noProof w:val="0"/>
          <w:sz w:val="24"/>
          <w:szCs w:val="24"/>
          <w:lang w:val="en-US"/>
        </w:rPr>
        <w:t>10 hours</w:t>
      </w:r>
      <w:r w:rsidRPr="556EC5B6" w:rsidR="556EC5B6">
        <w:rPr>
          <w:rFonts w:ascii="Garamond" w:hAnsi="Garamond" w:eastAsia="Garamond" w:cs="Garamond"/>
          <w:b w:val="0"/>
          <w:bCs w:val="0"/>
          <w:i w:val="0"/>
          <w:iCs w:val="0"/>
          <w:noProof w:val="0"/>
          <w:sz w:val="24"/>
          <w:szCs w:val="24"/>
          <w:lang w:val="en-US"/>
        </w:rPr>
        <w:t xml:space="preserve"> (second opponent)</w:t>
      </w:r>
    </w:p>
    <w:p w:rsidRPr="00EC68CC" w:rsidR="00DE6C48" w:rsidP="556EC5B6" w:rsidRDefault="00DE6C48" w14:paraId="13CB371F" w14:textId="08483E98">
      <w:pPr>
        <w:spacing w:before="210" w:beforeAutospacing="off" w:after="210" w:afterAutospacing="off" w:line="300" w:lineRule="auto"/>
        <w:rPr>
          <w:rFonts w:ascii="Garamond" w:hAnsi="Garamond" w:eastAsia="Garamond" w:cs="Garamond"/>
          <w:b w:val="0"/>
          <w:bCs w:val="0"/>
          <w:i w:val="0"/>
          <w:iCs w:val="0"/>
          <w:noProof w:val="0"/>
          <w:sz w:val="24"/>
          <w:szCs w:val="24"/>
          <w:lang w:val="en-US"/>
        </w:rPr>
      </w:pPr>
      <w:r w:rsidRPr="556EC5B6" w:rsidR="556EC5B6">
        <w:rPr>
          <w:rFonts w:ascii="Garamond" w:hAnsi="Garamond" w:eastAsia="Garamond" w:cs="Garamond"/>
          <w:b w:val="0"/>
          <w:bCs w:val="0"/>
          <w:i w:val="0"/>
          <w:iCs w:val="0"/>
          <w:noProof w:val="0"/>
          <w:sz w:val="24"/>
          <w:szCs w:val="24"/>
          <w:lang w:val="en-US"/>
        </w:rPr>
        <w:t xml:space="preserve">If minor revisions require a new assessment, an additional </w:t>
      </w:r>
      <w:r w:rsidRPr="556EC5B6" w:rsidR="556EC5B6">
        <w:rPr>
          <w:rFonts w:ascii="Garamond" w:hAnsi="Garamond" w:eastAsia="Garamond" w:cs="Garamond"/>
          <w:b w:val="0"/>
          <w:bCs w:val="0"/>
          <w:i w:val="0"/>
          <w:iCs w:val="0"/>
          <w:noProof w:val="0"/>
          <w:sz w:val="24"/>
          <w:szCs w:val="24"/>
          <w:lang w:val="en-US"/>
        </w:rPr>
        <w:t>25 hours</w:t>
      </w:r>
      <w:r w:rsidRPr="556EC5B6" w:rsidR="556EC5B6">
        <w:rPr>
          <w:rFonts w:ascii="Garamond" w:hAnsi="Garamond" w:eastAsia="Garamond" w:cs="Garamond"/>
          <w:b w:val="0"/>
          <w:bCs w:val="0"/>
          <w:i w:val="0"/>
          <w:iCs w:val="0"/>
          <w:noProof w:val="0"/>
          <w:sz w:val="24"/>
          <w:szCs w:val="24"/>
          <w:lang w:val="en-US"/>
        </w:rPr>
        <w:t xml:space="preserve"> is allocated.</w:t>
      </w:r>
    </w:p>
    <w:p w:rsidRPr="00EC68CC" w:rsidR="00DE6C48" w:rsidP="556EC5B6" w:rsidRDefault="00DE6C48" w14:paraId="7C7A81B1" w14:textId="55DCB1F7">
      <w:pPr>
        <w:rPr>
          <w:rFonts w:ascii="Garamond" w:hAnsi="Garamond" w:eastAsia="Garamond" w:cs="Garamond"/>
          <w:sz w:val="24"/>
          <w:szCs w:val="24"/>
        </w:rPr>
      </w:pPr>
    </w:p>
    <w:sectPr w:rsidRPr="00EC68CC" w:rsidR="00DE6C48">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Garamond">
    <w:altName w:val="Garamond"/>
    <w:panose1 w:val="02020404030301010803"/>
    <w:charset w:val="00"/>
    <w:family w:val="roman"/>
    <w:pitch w:val="variable"/>
    <w:sig w:usb0="00000287" w:usb1="00000002" w:usb2="00000000" w:usb3="00000000" w:csb0="000000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1">
    <w:nsid w:val="1a3f32b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160C10E9"/>
    <w:multiLevelType w:val="hybridMultilevel"/>
    <w:tmpl w:val="4E3CC28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2">
    <w:abstractNumId w:val="1"/>
  </w:num>
  <w:num w:numId="1" w16cid:durableId="21311664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3"/>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68CC"/>
    <w:rsid w:val="00651666"/>
    <w:rsid w:val="0077644A"/>
    <w:rsid w:val="007B28D9"/>
    <w:rsid w:val="007F04C3"/>
    <w:rsid w:val="00987074"/>
    <w:rsid w:val="00AB2ADF"/>
    <w:rsid w:val="00BE1569"/>
    <w:rsid w:val="00D26B3C"/>
    <w:rsid w:val="00DE6C48"/>
    <w:rsid w:val="00EC68CC"/>
    <w:rsid w:val="2FB79A12"/>
    <w:rsid w:val="43FC58EC"/>
    <w:rsid w:val="4F6DD17F"/>
    <w:rsid w:val="556EC5B6"/>
    <w:rsid w:val="7509F2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8A3204"/>
  <w15:chartTrackingRefBased/>
  <w15:docId w15:val="{82725449-0B2C-43A0-A13D-20D6A72CA6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EC68CC"/>
    <w:pPr>
      <w:spacing w:after="0" w:line="240" w:lineRule="auto"/>
    </w:pPr>
    <w:rPr>
      <w:sz w:val="24"/>
      <w:szCs w:val="24"/>
    </w:rPr>
  </w:style>
  <w:style w:type="paragraph" w:styleId="Heading1">
    <w:name w:val="heading 1"/>
    <w:basedOn w:val="Normal"/>
    <w:next w:val="Normal"/>
    <w:link w:val="Heading1Char"/>
    <w:uiPriority w:val="9"/>
    <w:qFormat/>
    <w:rsid w:val="00EC68CC"/>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C68CC"/>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C68C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C68C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C68C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C68C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C68C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C68C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C68CC"/>
    <w:pPr>
      <w:keepNext/>
      <w:keepLines/>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EC68CC"/>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EC68CC"/>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EC68CC"/>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EC68CC"/>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EC68CC"/>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EC68CC"/>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EC68CC"/>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EC68CC"/>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EC68CC"/>
    <w:rPr>
      <w:rFonts w:eastAsiaTheme="majorEastAsia" w:cstheme="majorBidi"/>
      <w:color w:val="272727" w:themeColor="text1" w:themeTint="D8"/>
    </w:rPr>
  </w:style>
  <w:style w:type="paragraph" w:styleId="Title">
    <w:name w:val="Title"/>
    <w:basedOn w:val="Normal"/>
    <w:next w:val="Normal"/>
    <w:link w:val="TitleChar"/>
    <w:uiPriority w:val="10"/>
    <w:qFormat/>
    <w:rsid w:val="00EC68CC"/>
    <w:pPr>
      <w:spacing w:after="80"/>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EC68CC"/>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EC68CC"/>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EC68C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C68CC"/>
    <w:pPr>
      <w:spacing w:before="160"/>
      <w:jc w:val="center"/>
    </w:pPr>
    <w:rPr>
      <w:i/>
      <w:iCs/>
      <w:color w:val="404040" w:themeColor="text1" w:themeTint="BF"/>
    </w:rPr>
  </w:style>
  <w:style w:type="character" w:styleId="QuoteChar" w:customStyle="1">
    <w:name w:val="Quote Char"/>
    <w:basedOn w:val="DefaultParagraphFont"/>
    <w:link w:val="Quote"/>
    <w:uiPriority w:val="29"/>
    <w:rsid w:val="00EC68CC"/>
    <w:rPr>
      <w:i/>
      <w:iCs/>
      <w:color w:val="404040" w:themeColor="text1" w:themeTint="BF"/>
    </w:rPr>
  </w:style>
  <w:style w:type="paragraph" w:styleId="ListParagraph">
    <w:name w:val="List Paragraph"/>
    <w:basedOn w:val="Normal"/>
    <w:uiPriority w:val="34"/>
    <w:qFormat/>
    <w:rsid w:val="00EC68CC"/>
    <w:pPr>
      <w:ind w:left="720"/>
      <w:contextualSpacing/>
    </w:pPr>
  </w:style>
  <w:style w:type="character" w:styleId="IntenseEmphasis">
    <w:name w:val="Intense Emphasis"/>
    <w:basedOn w:val="DefaultParagraphFont"/>
    <w:uiPriority w:val="21"/>
    <w:qFormat/>
    <w:rsid w:val="00EC68CC"/>
    <w:rPr>
      <w:i/>
      <w:iCs/>
      <w:color w:val="0F4761" w:themeColor="accent1" w:themeShade="BF"/>
    </w:rPr>
  </w:style>
  <w:style w:type="paragraph" w:styleId="IntenseQuote">
    <w:name w:val="Intense Quote"/>
    <w:basedOn w:val="Normal"/>
    <w:next w:val="Normal"/>
    <w:link w:val="IntenseQuoteChar"/>
    <w:uiPriority w:val="30"/>
    <w:qFormat/>
    <w:rsid w:val="00EC68CC"/>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EC68CC"/>
    <w:rPr>
      <w:i/>
      <w:iCs/>
      <w:color w:val="0F4761" w:themeColor="accent1" w:themeShade="BF"/>
    </w:rPr>
  </w:style>
  <w:style w:type="character" w:styleId="IntenseReference">
    <w:name w:val="Intense Reference"/>
    <w:basedOn w:val="DefaultParagraphFont"/>
    <w:uiPriority w:val="32"/>
    <w:qFormat/>
    <w:rsid w:val="00EC68C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AHO</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Susan Falkenås</dc:creator>
  <keywords/>
  <dc:description/>
  <lastModifiedBy>Susan Falkenås</lastModifiedBy>
  <revision>7</revision>
  <dcterms:created xsi:type="dcterms:W3CDTF">2025-06-02T09:57:00.0000000Z</dcterms:created>
  <dcterms:modified xsi:type="dcterms:W3CDTF">2026-06-10T10:34:44.7942501Z</dcterms:modified>
</coreProperties>
</file>